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仿宋_GB2312" w:hAnsi="仿宋_GB2312" w:eastAsia="仿宋_GB2312" w:cs="仿宋_GB2312"/>
          <w:sz w:val="32"/>
          <w:szCs w:val="32"/>
        </w:rPr>
      </w:pPr>
      <w:r>
        <w:rPr>
          <w:rFonts w:ascii="宋体" w:hAnsi="宋体" w:eastAsia="宋体" w:cs="宋体"/>
          <w:kern w:val="0"/>
          <w:sz w:val="24"/>
          <w:szCs w:val="24"/>
          <w:lang w:val="en-US" w:eastAsia="zh-CN" w:bidi="ar"/>
        </w:rPr>
        <w:drawing>
          <wp:anchor distT="0" distB="0" distL="114300" distR="114300" simplePos="0" relativeHeight="251658240" behindDoc="0" locked="0" layoutInCell="1" allowOverlap="1">
            <wp:simplePos x="0" y="0"/>
            <wp:positionH relativeFrom="column">
              <wp:posOffset>-581025</wp:posOffset>
            </wp:positionH>
            <wp:positionV relativeFrom="paragraph">
              <wp:posOffset>-215265</wp:posOffset>
            </wp:positionV>
            <wp:extent cx="6587490" cy="1205230"/>
            <wp:effectExtent l="0" t="0" r="3810" b="1397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587490" cy="1205230"/>
                    </a:xfrm>
                    <a:prstGeom prst="rect">
                      <a:avLst/>
                    </a:prstGeom>
                    <a:noFill/>
                    <a:ln w="9525">
                      <a:noFill/>
                    </a:ln>
                  </pic:spPr>
                </pic:pic>
              </a:graphicData>
            </a:graphic>
          </wp:anchor>
        </w:drawing>
      </w:r>
      <w:r>
        <w:rPr>
          <w:rFonts w:hint="eastAsia" w:ascii="宋体" w:hAnsi="宋体" w:eastAsia="宋体" w:cs="宋体"/>
          <w:kern w:val="0"/>
          <w:sz w:val="24"/>
          <w:szCs w:val="24"/>
          <w:lang w:val="en-US" w:eastAsia="zh-CN" w:bidi="ar"/>
        </w:rPr>
        <w:t xml:space="preserve">                                                   </w:t>
      </w:r>
      <w:r>
        <w:rPr>
          <w:rFonts w:hint="eastAsia" w:ascii="仿宋_GB2312" w:hAnsi="仿宋_GB2312" w:eastAsia="仿宋_GB2312" w:cs="仿宋_GB2312"/>
          <w:sz w:val="32"/>
          <w:szCs w:val="32"/>
        </w:rPr>
        <w:t>教高函〔2018〕8号</w:t>
      </w:r>
    </w:p>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700" w:lineRule="exact"/>
        <w:jc w:val="center"/>
        <w:textAlignment w:val="auto"/>
        <w:outlineLvl w:val="0"/>
        <w:rPr>
          <w:rFonts w:hint="eastAsia" w:ascii="小标宋" w:hAnsi="小标宋" w:eastAsia="小标宋" w:cs="小标宋"/>
          <w:b w:val="0"/>
          <w:bCs/>
          <w:sz w:val="44"/>
          <w:szCs w:val="44"/>
        </w:rPr>
      </w:pPr>
      <w:bookmarkStart w:id="0" w:name="_GoBack"/>
      <w:r>
        <w:rPr>
          <w:rFonts w:hint="eastAsia" w:ascii="小标宋" w:hAnsi="小标宋" w:eastAsia="小标宋" w:cs="小标宋"/>
          <w:b w:val="0"/>
          <w:bCs/>
          <w:sz w:val="44"/>
          <w:szCs w:val="44"/>
        </w:rPr>
        <w:t>教育部关于狠抓新时代全国高等学校</w:t>
      </w:r>
      <w:r>
        <w:rPr>
          <w:rFonts w:hint="eastAsia" w:ascii="小标宋" w:hAnsi="小标宋" w:eastAsia="小标宋" w:cs="小标宋"/>
          <w:b w:val="0"/>
          <w:bCs/>
          <w:sz w:val="44"/>
          <w:szCs w:val="44"/>
        </w:rPr>
        <w:br w:type="textWrapping"/>
      </w:r>
      <w:r>
        <w:rPr>
          <w:rFonts w:hint="eastAsia" w:ascii="小标宋" w:hAnsi="小标宋" w:eastAsia="小标宋" w:cs="小标宋"/>
          <w:b w:val="0"/>
          <w:bCs/>
          <w:sz w:val="44"/>
          <w:szCs w:val="44"/>
        </w:rPr>
        <w:t>本科教育工作会议精神落实的通知</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各省、自治区、直辖市教育厅（教委），新疆生产建设兵团教育局，有关部门（单位）教育司（局），部属各高等学校、部省合建各高等学校：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为深入贯彻落实新时代全国高等学校本科教育工作会议精神，加快振兴本科教育，构建高水平人才培养体系，全面提高高校人才培养能力，现就有关事项通知如下：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xml:space="preserve">一、组织开展教育思想大讨论，切实增强振兴本科的思想自觉和行动自觉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聚焦讨论主题。各地教育行政部门、各高校要组织广大干部教师围绕学习贯彻习近平总书记关于人才培养工作系列重要论述、围绕落实本科教育工作会议精神开展教育思想大讨论，使各方面思想、认识和行动高度统一到落实立德树人任务要求上来。一是聚焦教育工作的“两个根本”，深刻领会培养社会主义建设者和接班人是学校的根本任务，立德树人的成效是检验学校一切工作的根本标准。二是聚焦以本为本，深刻领会高教大计、本科为本，人才培养为本、本科教育是根，充分认识本科教育在人才培养中的核心地位、在教育教学中的基础地位、在新时代教育发展中的前沿地位。三是聚焦四个回归，深刻领会四个回归的丰富内涵，以四个回归为基本遵循，切实落实到办学治校全过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坚持问题导向。各地教育行政部门、各高校要坚持问题导向，全面梳理影响本科教育改革发展、影响以本为本、四个回归的主要问题，认真查找本科教育中还存在的领导精力投入不到位、教师精力投入不到位、学生精力投入不到位、资源投入不到位等方面的问题，围绕教授给本科生上课、师德师风、课堂教学秩序、实习实践、毕业论文等重点领域突出问题进行专题研究部署，制定整改措施，明确时间节点，逐级狠抓落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推动全员参与。各地教育行政部门和高校要根据本地、本校实际，组织开展专题学习，集中研讨，进一步提高认识、更新观念，明确学校人才培养的目标定位和振兴本科教育的思路举措。高校管理部门和各院系要聚焦具体问题和关键环节，通过学习讨论、会议培训、在线教育等多种形式，动员全体干部教师参与，进一步明确干部教师的教书育人使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持续加强宣传。各地教育行政部门、各高校主要负责同志要以上率下、带头学习，在报刊、网络、电视等媒体发表学习心得、解读文章。各高校要在校报、校刊、门户网站、微博、微信公众号等各类媒体上开辟专栏，组织干部教师发表体会文章，介绍典型经验，宣传改革成果，努力营造振兴本科教育的良好舆论氛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xml:space="preserve">二、抓紧制定专项行动计划，系统规划振兴本科的建设路径和关键举措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制定省级行动计划。各地教育行政部门要结合实际科学研究制定本地区高水平本科教育建设的行动计划。要把本科教育质量作为评价和衡量高校工作的重要依据，提高资源配置效率，增强工作针对性和实效性。要指导高校根据区域经济建设和社会发展需求，合理定位，立足优势，努力建设一流本科、做强一流专业、培养一流人才，切实把各项任务举措落到实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制定高校实施方案。各高校党委常委会、校长办公会要专题研究本科教育工作，结合实际制定本校振兴本科教育实施方案，明确建设目标、重点内容、落实举措、评价方式和保障机制。学校主要负责同志要亲自抓方案落实。各职能部门、院系要认真履行职责，推动本科教育工作各项部署落细落小落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xml:space="preserve">三、全面整顿教育教学秩序，严格本科教育教学过程管理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1.加强课堂教学管理。各高校要按照《中共教育部党组关于加强高校课堂教学建设 提高教学质量的指导意见》要求，修订完善课堂教学建设和管理的相关规定。要认真查找课堂建设和管理中存在的突出问题和薄弱环节，严管、严抓教学秩序，制定整改措施，明确时间节点，落实责任到人，把从严管理的规矩立起来、把课堂教学建设强起来、把课堂教学质量提起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加强学习过程管理。各高校要全面梳理各门课程的教学内容，淘汰“水课”、打造“金课”，合理提升学业挑战度、增加课程难度、拓展课程深度，切实提高课程教学质量。要结合办学实际修订本科人才培养方案，切实把本科教育工作会议的精神、要求落实到学校人才培养各项工作、各个环节中，新方案要从2018级学生开始实施，持续抓四年、全程管到位，努力使每一级在校生都受益。要切实加强学习过程考核，加大过程考核成绩在课程总成绩中的比重，严格考试纪律、严把毕业出口关，坚决取消“清考”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切实提高毕业论文（设计）质量。要切实落实《教育部办公厅关于严厉查处高等学校学位论文买卖、代写行为的通知》要求，修订完善本科毕业生论文（设计）管理制度，强化指导教师责任，加强对选题、开题、答辩等环节的全过程管理。要严格实行论文查重和抽检制度，建立健全盲审制度，严肃处理抄袭、伪造、篡改、代写、买卖毕业论文等违纪问题，确保本科毕业生论文（设计）质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强化教师教学主体责任。要制定教授给本科生上课的专门管理规定，确保教授全员给本科生上课。要严格执行师德师风一票否决制，对于师德表现失范的，要依法依规严肃处理。要进一步修订完善教师评价考核制度，把教学质量作为教师专业技术职务评聘、绩效考核的主要依据，在教师专业技术职务晋升中施行本科教学工作考评一票否决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xml:space="preserve">四、紧紧抓住核心环节，加快构建振兴本科的长效机制和制度保障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加强专业动态调整机制建设。各地教育行政部门要结合“放管服”改革，加强对地方高校本科专业设置的统筹管理,加强对新设专业评估检查，加大对专业办学条件的公开力度。各高校要加强需求、招生、培养、就业全链条统筹，加快建立专业有进有出的动态调整机制，推动就业与招生计划、人才培养的有效联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加强现代信息技术与教育教学深度融合的制度建设。各地教育行政部门、各高校要加快完善现代信息技术与教育教学深度融合机制，有序有效推进在线开放课程和虚拟仿真实验教学项目的建设、应用及管理。以提升教师信息技术应用能力为着力点，制定出台有效的教学激励和管理办法，加快用信息技术改造传统教学、提高教学水平的进程。要完善在线开放课程学分认定制度，推动学分互认，推进优质资源共建共享，充分发挥在线开放课程在支持中西部高等教育发展、促进教育公平、提高教育质量方面的重要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加强大学教学质量评价制度建设。各高校要完善自我评估制度，加快建立自律、自查、自纠的教学质量评价体系。要依照《普通高等学校本科专业类教学质量国家标准》及有关行业标准，加快国家专业质量认证体系建设，形成专业质量认证的制度框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xml:space="preserve">五、大力推广典型经验，努力形成振兴本科的良好氛围和全局效应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1.深入开展改革试点。各地教育行政部门、各高校要加强顶层设计，创新观念理念，积极开展改革试点，逐步积累改革经验，不断形成建设高水平本科教育的新理念、新标准、新路径、新机制、新文化。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积极选树先进典型。各地教育行政部门、各高校要建立激励机制，切实加大本科教育教学成果表彰力度。要积极选树一批重视本科教育、有效推进本科教育改革的先进典型，开展多种形式的推广交流，加强宣传力度，充分发挥示范带动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大力推广成功经验。各地教育行政部门、各高校要加强对带有共性、规律性经验做法的总结提炼，开展有针对性的课题研究，形成一批可借鉴、可复制、可推广的开放式经验模式，形成一批标志性政策措施和理论成果，并在理论与政策层面积极推广，带动形成全局性改革成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请各地教育行政部门、各高校于2018年年底前将学习贯彻工作方案和落实情况报告我部，我部将对各地各高校贯彻落实情况适时开展督导检查。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教育部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2018年8月22日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仿宋_GB2312" w:hAnsi="仿宋_GB2312" w:eastAsia="仿宋_GB2312" w:cs="仿宋_GB2312"/>
          <w:sz w:val="32"/>
          <w:szCs w:val="32"/>
        </w:rPr>
      </w:pPr>
    </w:p>
    <w:p/>
    <w:sectPr>
      <w:pgSz w:w="11906" w:h="16838"/>
      <w:pgMar w:top="1701" w:right="1474" w:bottom="1474" w:left="1587" w:header="851" w:footer="992" w:gutter="0"/>
      <w:paperSrc/>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Bodoni MT Black">
    <w:panose1 w:val="02070A03080606020203"/>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56E6D"/>
    <w:rsid w:val="36C56E6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2018-09-05T03:08:00Z</dcterms:created>
  <dc:creator>金美容  教学科</dc:creator>
  <cp:lastModifiedBy>金美容  教学科</cp:lastModifiedBy>
  <dcterms:modified xsi:type="dcterms:W3CDTF">2018-09-05T03:32:48Z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